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 w:bidi="ar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3：</w:t>
      </w:r>
      <w:bookmarkStart w:id="0" w:name="_GoBack"/>
      <w:bookmarkEnd w:id="0"/>
    </w:p>
    <w:p>
      <w:pPr>
        <w:spacing w:line="480" w:lineRule="exact"/>
        <w:ind w:firstLine="562" w:firstLineChars="200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 w:bidi="ar"/>
        </w:rPr>
      </w:pPr>
    </w:p>
    <w:p>
      <w:pPr>
        <w:spacing w:line="480" w:lineRule="exact"/>
        <w:ind w:firstLine="723" w:firstLineChars="200"/>
        <w:rPr>
          <w:rFonts w:hint="eastAsia" w:ascii="仿宋" w:hAnsi="仿宋" w:eastAsia="仿宋" w:cs="仿宋"/>
          <w:b/>
          <w:sz w:val="36"/>
          <w:szCs w:val="36"/>
          <w:lang w:eastAsia="zh-CN" w:bidi="ar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 w:bidi="ar"/>
        </w:rPr>
        <w:t>《</w:t>
      </w:r>
      <w:r>
        <w:rPr>
          <w:rFonts w:hint="eastAsia" w:ascii="仿宋" w:hAnsi="仿宋" w:eastAsia="仿宋" w:cs="仿宋"/>
          <w:b/>
          <w:sz w:val="36"/>
          <w:szCs w:val="36"/>
          <w:lang w:bidi="ar"/>
        </w:rPr>
        <w:t>学校学业指导工作考核评分标准表</w:t>
      </w:r>
      <w:r>
        <w:rPr>
          <w:rFonts w:hint="eastAsia" w:ascii="仿宋" w:hAnsi="仿宋" w:eastAsia="仿宋" w:cs="仿宋"/>
          <w:b/>
          <w:sz w:val="36"/>
          <w:szCs w:val="36"/>
          <w:lang w:eastAsia="zh-CN" w:bidi="ar"/>
        </w:rPr>
        <w:t>》</w:t>
      </w:r>
    </w:p>
    <w:tbl>
      <w:tblPr>
        <w:tblStyle w:val="2"/>
        <w:tblpPr w:leftFromText="180" w:rightFromText="180" w:vertAnchor="text" w:horzAnchor="page" w:tblpX="1295" w:tblpY="918"/>
        <w:tblOverlap w:val="never"/>
        <w:tblW w:w="9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797"/>
        <w:gridCol w:w="5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5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内容及依据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基础工作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（每项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5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二级学院学业指导工作计划、工作会议纪录、指导情况登记表、活动安排与宣传报道、工作总结、研究成果等及归档情况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指导工作及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活动内容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（每项5分）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5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二级学院本学年学业指导工作情况，是否完成了工作计划规定的工作任务；学业导师个人学业指导完成情况；学业指导的典型活动、典型事项、典型个人，学业指导工作效果等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ind w:firstLine="280" w:firstLineChars="1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次数、学时</w:t>
            </w:r>
          </w:p>
          <w:p>
            <w:pPr>
              <w:widowControl/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0分</w:t>
            </w:r>
          </w:p>
        </w:tc>
        <w:tc>
          <w:tcPr>
            <w:tcW w:w="5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学业指导采取定期与不定期、集中指导与分散指导相结合的方式进行。每学期定期集中指导不得少于2次，每次指导时间不得少于1小时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学业导师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每学期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面谈、短信、微信、qq、电子邮件等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进行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分散指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每学年指导总计不少于32学时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自行考核及等级核定工作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5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学院考核后评定等级为优秀、合格和不合格，填写《学业指导完成情况及考核情况统计表》；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“学院学业指导工作考核方案”、“优秀学业指导老师材料是否详实”、考核程序是否完整。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学院学业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指导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材料完成、上交情况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5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二级学院学业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是否按时完成，材料是否按时上交。</w:t>
            </w:r>
          </w:p>
        </w:tc>
      </w:tr>
    </w:tbl>
    <w:p>
      <w:pPr>
        <w:widowControl/>
        <w:snapToGrid w:val="0"/>
        <w:spacing w:line="3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4BAC"/>
    <w:rsid w:val="3DCA0DD9"/>
    <w:rsid w:val="53911FFC"/>
    <w:rsid w:val="588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2020-10-08T03:00:00Z</dcterms:created>
  <dc:creator>Administrator.1FSKTI804FKYUKV</dc:creator>
  <cp:lastModifiedBy>Administrator</cp:lastModifiedBy>
  <dcterms:modified xsi:type="dcterms:W3CDTF">2020-10-08T03:27:52Z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