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6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after="156" w:afterLines="50" w:line="24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湖南财政经济学院</w:t>
      </w:r>
      <w:r>
        <w:rPr>
          <w:rFonts w:ascii="黑体" w:hAnsi="黑体" w:eastAsia="黑体" w:cs="黑体"/>
          <w:sz w:val="32"/>
          <w:szCs w:val="32"/>
        </w:rPr>
        <w:t>2019</w:t>
      </w:r>
      <w:r>
        <w:rPr>
          <w:rFonts w:hint="eastAsia" w:ascii="黑体" w:hAnsi="黑体" w:eastAsia="黑体" w:cs="黑体"/>
          <w:sz w:val="32"/>
          <w:szCs w:val="32"/>
        </w:rPr>
        <w:t>年“课程思政”示范课程</w:t>
      </w:r>
    </w:p>
    <w:p>
      <w:pPr>
        <w:adjustRightInd w:val="0"/>
        <w:snapToGrid w:val="0"/>
        <w:spacing w:after="156" w:afterLines="50" w:line="240" w:lineRule="auto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立项项目名单</w:t>
      </w:r>
    </w:p>
    <w:tbl>
      <w:tblPr>
        <w:tblStyle w:val="2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935"/>
        <w:gridCol w:w="990"/>
        <w:gridCol w:w="1050"/>
        <w:gridCol w:w="2207"/>
        <w:gridCol w:w="1664"/>
      </w:tblGrid>
      <w:tr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共建人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团队成员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资本经营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许芳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李建梅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姚菊丹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曾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峻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良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政治经济学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尹向飞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王花球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肖迎春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许红莲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李文煌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理财与人生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罗四维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刘振强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财政金融学院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吴朝霞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李艳丰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王奕婷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梁辉煌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罗财喜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工商管理学院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张征宇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朱思文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唐力翔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卢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国学与管理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周奕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工商管理学院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许小主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刘铁明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李芝山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李小娟彭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兰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黎钰林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土地利用规划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李佩瑾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刘绿丝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工程管理学院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罗永恒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截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宪法学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郑谊英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罗财喜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公共管理学院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彭赛红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蓓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陈志霞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图形图像处理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曹松林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信息技术与管理学院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玲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截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亮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谷今杰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黄丽蓉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大学英语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肖平飞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刘振强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秦绪华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立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杨琼微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徐佳丽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侯卉君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新闻学概论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陈敏利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何赛雄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铁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昱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概率论与随机过程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莫晓云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易好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薇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朱依霞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杨向群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跨文化交际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曾佳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凌飞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厚生国际教育学院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于文龙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艳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创业基础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徐妙文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李兰兰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创新创业学院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彭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兰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娟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姣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佳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李民栋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大学生职业生涯与发展规划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王竹青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张雪峰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招生就业办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波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蓓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许炉炉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史绵绵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5511"/>
    <w:rsid w:val="6A4F0D41"/>
    <w:rsid w:val="7BA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