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115" w:type="dxa"/>
        <w:tblInd w:w="0" w:type="dxa"/>
        <w:shd w:val="clear"/>
        <w:tblLayout w:type="autofit"/>
        <w:tblCellMar>
          <w:top w:w="0" w:type="dxa"/>
          <w:left w:w="0" w:type="dxa"/>
          <w:bottom w:w="0" w:type="dxa"/>
          <w:right w:w="0" w:type="dxa"/>
        </w:tblCellMar>
      </w:tblPr>
      <w:tblGrid>
        <w:gridCol w:w="645"/>
        <w:gridCol w:w="2010"/>
        <w:gridCol w:w="810"/>
        <w:gridCol w:w="870"/>
        <w:gridCol w:w="945"/>
        <w:gridCol w:w="1110"/>
        <w:gridCol w:w="930"/>
        <w:gridCol w:w="945"/>
        <w:gridCol w:w="1335"/>
        <w:gridCol w:w="1110"/>
        <w:gridCol w:w="840"/>
        <w:gridCol w:w="840"/>
        <w:gridCol w:w="810"/>
        <w:gridCol w:w="915"/>
      </w:tblGrid>
      <w:tr>
        <w:tblPrEx>
          <w:tblCellMar>
            <w:top w:w="0" w:type="dxa"/>
            <w:left w:w="0" w:type="dxa"/>
            <w:bottom w:w="0" w:type="dxa"/>
            <w:right w:w="0" w:type="dxa"/>
          </w:tblCellMar>
        </w:tblPrEx>
        <w:trPr>
          <w:trHeight w:val="900" w:hRule="atLeast"/>
        </w:trPr>
        <w:tc>
          <w:tcPr>
            <w:tcW w:w="14115" w:type="dxa"/>
            <w:gridSpan w:val="14"/>
            <w:tcBorders>
              <w:top w:val="nil"/>
              <w:left w:val="nil"/>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bookmarkStart w:id="0" w:name="_GoBack"/>
            <w:r>
              <w:rPr>
                <w:rFonts w:hint="default" w:ascii="方正小标宋简体" w:hAnsi="方正小标宋简体" w:eastAsia="方正小标宋简体" w:cs="方正小标宋简体"/>
                <w:i w:val="0"/>
                <w:color w:val="000000"/>
                <w:kern w:val="0"/>
                <w:sz w:val="44"/>
                <w:szCs w:val="44"/>
                <w:u w:val="none"/>
                <w:bdr w:val="none" w:color="auto" w:sz="0" w:space="0"/>
                <w:lang w:val="en-US" w:eastAsia="zh-CN" w:bidi="ar"/>
              </w:rPr>
              <w:t>湖南财政经济学院一流课程推荐限额分配表</w:t>
            </w:r>
            <w:bookmarkEnd w:id="0"/>
          </w:p>
        </w:tc>
      </w:tr>
      <w:tr>
        <w:tblPrEx>
          <w:tblCellMar>
            <w:top w:w="0" w:type="dxa"/>
            <w:left w:w="0" w:type="dxa"/>
            <w:bottom w:w="0" w:type="dxa"/>
            <w:right w:w="0" w:type="dxa"/>
          </w:tblCellMar>
        </w:tblPrEx>
        <w:trPr>
          <w:trHeight w:val="1175"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序号</w:t>
            </w:r>
          </w:p>
        </w:tc>
        <w:tc>
          <w:tcPr>
            <w:tcW w:w="201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学院名称</w:t>
            </w:r>
          </w:p>
        </w:tc>
        <w:tc>
          <w:tcPr>
            <w:tcW w:w="81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专业数</w:t>
            </w:r>
          </w:p>
        </w:tc>
        <w:tc>
          <w:tcPr>
            <w:tcW w:w="8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国家级一流本科专业数量</w:t>
            </w:r>
          </w:p>
        </w:tc>
        <w:tc>
          <w:tcPr>
            <w:tcW w:w="9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分配基本数量</w:t>
            </w:r>
          </w:p>
        </w:tc>
        <w:tc>
          <w:tcPr>
            <w:tcW w:w="1110" w:type="dxa"/>
            <w:tcBorders>
              <w:top w:val="single" w:color="000000" w:sz="4" w:space="0"/>
              <w:left w:val="nil"/>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4"/>
                <w:bdr w:val="none" w:color="auto" w:sz="0" w:space="0"/>
                <w:lang w:val="en-US" w:eastAsia="zh-CN" w:bidi="ar"/>
              </w:rPr>
              <w:t>精品在线开放</w:t>
            </w:r>
            <w:r>
              <w:rPr>
                <w:rStyle w:val="5"/>
                <w:bdr w:val="none" w:color="auto" w:sz="0" w:space="0"/>
                <w:lang w:val="en-US" w:eastAsia="zh-CN" w:bidi="ar"/>
              </w:rPr>
              <w:t>（省厅限额</w:t>
            </w:r>
            <w:r>
              <w:rPr>
                <w:rStyle w:val="6"/>
                <w:rFonts w:eastAsia="宋体"/>
                <w:bdr w:val="none" w:color="auto" w:sz="0" w:space="0"/>
                <w:lang w:val="en-US" w:eastAsia="zh-CN" w:bidi="ar"/>
              </w:rPr>
              <w:t>7</w:t>
            </w:r>
            <w:r>
              <w:rPr>
                <w:rStyle w:val="5"/>
                <w:bdr w:val="none" w:color="auto" w:sz="0" w:space="0"/>
                <w:lang w:val="en-US" w:eastAsia="zh-CN" w:bidi="ar"/>
              </w:rPr>
              <w:t>门）</w:t>
            </w:r>
          </w:p>
        </w:tc>
        <w:tc>
          <w:tcPr>
            <w:tcW w:w="187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4"/>
                <w:bdr w:val="none" w:color="auto" w:sz="0" w:space="0"/>
                <w:lang w:val="en-US" w:eastAsia="zh-CN" w:bidi="ar"/>
              </w:rPr>
              <w:t>线下</w:t>
            </w:r>
            <w:r>
              <w:rPr>
                <w:rStyle w:val="5"/>
                <w:bdr w:val="none" w:color="auto" w:sz="0" w:space="0"/>
                <w:lang w:val="en-US" w:eastAsia="zh-CN" w:bidi="ar"/>
              </w:rPr>
              <w:t>（省厅限额</w:t>
            </w:r>
            <w:r>
              <w:rPr>
                <w:rStyle w:val="6"/>
                <w:rFonts w:eastAsia="宋体"/>
                <w:bdr w:val="none" w:color="auto" w:sz="0" w:space="0"/>
                <w:lang w:val="en-US" w:eastAsia="zh-CN" w:bidi="ar"/>
              </w:rPr>
              <w:t>9</w:t>
            </w:r>
            <w:r>
              <w:rPr>
                <w:rStyle w:val="5"/>
                <w:bdr w:val="none" w:color="auto" w:sz="0" w:space="0"/>
                <w:lang w:val="en-US" w:eastAsia="zh-CN" w:bidi="ar"/>
              </w:rPr>
              <w:t>门）</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4"/>
                <w:bdr w:val="none" w:color="auto" w:sz="0" w:space="0"/>
                <w:lang w:val="en-US" w:eastAsia="zh-CN" w:bidi="ar"/>
              </w:rPr>
              <w:t>线上线下混合式</w:t>
            </w:r>
            <w:r>
              <w:rPr>
                <w:rStyle w:val="5"/>
                <w:bdr w:val="none" w:color="auto" w:sz="0" w:space="0"/>
                <w:lang w:val="en-US" w:eastAsia="zh-CN" w:bidi="ar"/>
              </w:rPr>
              <w:t>（省厅限额10门）</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4"/>
                <w:bdr w:val="none" w:color="auto" w:sz="0" w:space="0"/>
                <w:lang w:val="en-US" w:eastAsia="zh-CN" w:bidi="ar"/>
              </w:rPr>
              <w:t>虚拟仿真实验教学</w:t>
            </w:r>
            <w:r>
              <w:rPr>
                <w:rStyle w:val="5"/>
                <w:bdr w:val="none" w:color="auto" w:sz="0" w:space="0"/>
                <w:lang w:val="en-US" w:eastAsia="zh-CN" w:bidi="ar"/>
              </w:rPr>
              <w:t>（省厅限额1门）</w:t>
            </w:r>
          </w:p>
        </w:tc>
        <w:tc>
          <w:tcPr>
            <w:tcW w:w="1680" w:type="dxa"/>
            <w:gridSpan w:val="2"/>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4"/>
                <w:bdr w:val="none" w:color="auto" w:sz="0" w:space="0"/>
                <w:lang w:val="en-US" w:eastAsia="zh-CN" w:bidi="ar"/>
              </w:rPr>
              <w:t>社会实践</w:t>
            </w:r>
            <w:r>
              <w:rPr>
                <w:rStyle w:val="5"/>
                <w:bdr w:val="none" w:color="auto" w:sz="0" w:space="0"/>
                <w:lang w:val="en-US" w:eastAsia="zh-CN" w:bidi="ar"/>
              </w:rPr>
              <w:t>（省厅限额3门）</w:t>
            </w:r>
          </w:p>
        </w:tc>
        <w:tc>
          <w:tcPr>
            <w:tcW w:w="81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配套奖励数量</w:t>
            </w:r>
          </w:p>
        </w:tc>
        <w:tc>
          <w:tcPr>
            <w:tcW w:w="9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r>
      <w:tr>
        <w:tblPrEx>
          <w:tblCellMar>
            <w:top w:w="0" w:type="dxa"/>
            <w:left w:w="0" w:type="dxa"/>
            <w:bottom w:w="0" w:type="dxa"/>
            <w:right w:w="0" w:type="dxa"/>
          </w:tblCellMar>
        </w:tblPrEx>
        <w:trPr>
          <w:trHeight w:val="9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111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分配基本数量</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分配基本数量</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7"/>
                <w:rFonts w:eastAsia="宋体"/>
                <w:bdr w:val="none" w:color="auto" w:sz="0" w:space="0"/>
                <w:lang w:val="en-US" w:eastAsia="zh-CN" w:bidi="ar"/>
              </w:rPr>
              <w:t>2019</w:t>
            </w:r>
            <w:r>
              <w:rPr>
                <w:rStyle w:val="4"/>
                <w:bdr w:val="none" w:color="auto" w:sz="0" w:space="0"/>
                <w:lang w:val="en-US" w:eastAsia="zh-CN" w:bidi="ar"/>
              </w:rPr>
              <w:t>年入围国家级数量</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分配基本数量</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分配基本数量</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bdr w:val="none" w:color="auto" w:sz="0" w:space="0"/>
                <w:lang w:val="en-US" w:eastAsia="zh-CN" w:bidi="ar"/>
              </w:rPr>
              <w:t>分配基本数量</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81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会计学院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bdr w:val="none" w:color="auto" w:sz="0" w:space="0"/>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bdr w:val="none" w:color="auto" w:sz="0" w:space="0"/>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财政金融学院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FF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bdr w:val="none" w:color="auto" w:sz="0" w:space="0"/>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bdr w:val="none" w:color="auto" w:sz="0" w:space="0"/>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工商管理学院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FF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工程管理学院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信息技术与管理学院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公共管理学院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外国语学院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人文与艺术学院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数学与统计学院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体育学院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马克思主义学院</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r>
      <w:tr>
        <w:tblPrEx>
          <w:tblCellMar>
            <w:top w:w="0" w:type="dxa"/>
            <w:left w:w="0" w:type="dxa"/>
            <w:bottom w:w="0" w:type="dxa"/>
            <w:right w:w="0" w:type="dxa"/>
          </w:tblCellMar>
        </w:tblPrEx>
        <w:trPr>
          <w:trHeight w:val="420" w:hRule="atLeast"/>
        </w:trPr>
        <w:tc>
          <w:tcPr>
            <w:tcW w:w="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r>
      <w:tr>
        <w:tblPrEx>
          <w:tblCellMar>
            <w:top w:w="0" w:type="dxa"/>
            <w:left w:w="0" w:type="dxa"/>
            <w:bottom w:w="0" w:type="dxa"/>
            <w:right w:w="0" w:type="dxa"/>
          </w:tblCellMar>
        </w:tblPrEx>
        <w:trPr>
          <w:trHeight w:val="540" w:hRule="atLeast"/>
        </w:trPr>
        <w:tc>
          <w:tcPr>
            <w:tcW w:w="14115" w:type="dxa"/>
            <w:gridSpan w:val="1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4"/>
                <w:bdr w:val="none" w:color="auto" w:sz="0" w:space="0"/>
                <w:lang w:val="en-US" w:eastAsia="zh-CN" w:bidi="ar"/>
              </w:rPr>
              <w:t>说明：奖励数量：</w:t>
            </w:r>
            <w:r>
              <w:rPr>
                <w:rStyle w:val="5"/>
                <w:bdr w:val="none" w:color="auto" w:sz="0" w:space="0"/>
                <w:lang w:val="en-US" w:eastAsia="zh-CN" w:bidi="ar"/>
              </w:rPr>
              <w:t>国家级一流本科专业、国家级一流本科课程各奖励一门，根据专业数量适当增加申报课程数量，2018、2019年有创新创业教育基地和中心的学院和马克思主义学院要求申报一门社会实践课程。</w:t>
            </w:r>
          </w:p>
        </w:tc>
      </w:tr>
    </w:tbl>
    <w:p/>
    <w:sectPr>
      <w:pgSz w:w="16838" w:h="11906" w:orient="landscape"/>
      <w:pgMar w:top="1009" w:right="986" w:bottom="839"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64775"/>
    <w:rsid w:val="4476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2"/>
      <w:szCs w:val="22"/>
      <w:u w:val="none"/>
    </w:rPr>
  </w:style>
  <w:style w:type="character" w:customStyle="1" w:styleId="5">
    <w:name w:val="font11"/>
    <w:basedOn w:val="3"/>
    <w:uiPriority w:val="0"/>
    <w:rPr>
      <w:rFonts w:hint="eastAsia" w:ascii="宋体" w:hAnsi="宋体" w:eastAsia="宋体" w:cs="宋体"/>
      <w:color w:val="FF0000"/>
      <w:sz w:val="22"/>
      <w:szCs w:val="22"/>
      <w:u w:val="none"/>
    </w:rPr>
  </w:style>
  <w:style w:type="character" w:customStyle="1" w:styleId="6">
    <w:name w:val="font01"/>
    <w:basedOn w:val="3"/>
    <w:uiPriority w:val="0"/>
    <w:rPr>
      <w:rFonts w:hint="default" w:ascii="Times New Roman" w:hAnsi="Times New Roman" w:cs="Times New Roman"/>
      <w:color w:val="FF0000"/>
      <w:sz w:val="22"/>
      <w:szCs w:val="22"/>
      <w:u w:val="none"/>
    </w:rPr>
  </w:style>
  <w:style w:type="character" w:customStyle="1" w:styleId="7">
    <w:name w:val="font51"/>
    <w:basedOn w:val="3"/>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2020-11-24T03:46:00Z</dcterms:created>
  <dc:creator>刘莹</dc:creator>
  <cp:lastModifiedBy>刘莹</cp:lastModifiedBy>
  <dcterms:modified xsi:type="dcterms:W3CDTF">2020-11-24T03:53:19Z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